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bookmarkStart w:id="0" w:name="_GoBack"/>
      <w:bookmarkEnd w:id="0"/>
      <w:r w:rsidRPr="00D025C9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3:</w:t>
      </w:r>
    </w:p>
    <w:p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D025C9" w:rsidRP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:rsidR="00D025C9" w:rsidRPr="00FA412C" w:rsidRDefault="00D025C9" w:rsidP="00D025C9">
      <w:pPr>
        <w:jc w:val="center"/>
        <w:rPr>
          <w:rFonts w:ascii="Verdana" w:hAnsi="Verdana" w:cs="Arial"/>
          <w:sz w:val="18"/>
          <w:szCs w:val="18"/>
        </w:rPr>
      </w:pPr>
      <w:r w:rsidRPr="00FA412C">
        <w:rPr>
          <w:rFonts w:ascii="Verdana" w:hAnsi="Verdana" w:cs="Arial"/>
          <w:sz w:val="18"/>
          <w:szCs w:val="18"/>
        </w:rPr>
        <w:t>(Doporučený vzor)</w:t>
      </w:r>
    </w:p>
    <w:p w:rsidR="00D025C9" w:rsidRPr="00D025C9" w:rsidRDefault="00D025C9" w:rsidP="00D025C9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:rsidR="00D025C9" w:rsidRP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:rsidR="00D025C9" w:rsidRPr="00D025C9" w:rsidRDefault="00D025C9" w:rsidP="00D025C9">
      <w:pPr>
        <w:jc w:val="both"/>
        <w:rPr>
          <w:rFonts w:ascii="Verdana" w:hAnsi="Verdana" w:cs="Arial"/>
          <w:sz w:val="18"/>
          <w:szCs w:val="18"/>
        </w:rPr>
      </w:pPr>
    </w:p>
    <w:p w:rsidR="00D025C9" w:rsidRPr="00D025C9" w:rsidRDefault="00D025C9" w:rsidP="005B05A8">
      <w:pPr>
        <w:jc w:val="both"/>
        <w:rPr>
          <w:rFonts w:ascii="Verdana" w:eastAsia="Calibri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5B05A8" w:rsidRDefault="005B05A8" w:rsidP="00D025C9">
      <w:pPr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</w:pPr>
    </w:p>
    <w:p w:rsidR="00D025C9" w:rsidRPr="00D025C9" w:rsidRDefault="00D025C9" w:rsidP="00D025C9">
      <w:pPr>
        <w:rPr>
          <w:rFonts w:ascii="Verdana" w:hAnsi="Verdana" w:cs="Arial"/>
          <w:bCs/>
          <w:color w:val="000000"/>
          <w:sz w:val="16"/>
          <w:szCs w:val="16"/>
          <w:lang w:eastAsia="cs-CZ"/>
        </w:rPr>
      </w:pPr>
      <w:r w:rsidRPr="00D025C9">
        <w:rPr>
          <w:rFonts w:ascii="Verdana" w:hAnsi="Verdana" w:cs="Arial"/>
          <w:b/>
          <w:bCs/>
          <w:color w:val="000000"/>
          <w:sz w:val="16"/>
          <w:szCs w:val="16"/>
          <w:lang w:eastAsia="cs-CZ"/>
        </w:rPr>
        <w:t>Poznámka pro zadavatele zakázky:</w:t>
      </w: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Sankce EU proti Rusku a Bělorusku možno ověřit na:</w:t>
      </w:r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7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https://www.sanctionsmap.eu/</w:t>
        </w:r>
      </w:hyperlink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8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https://www.amlsolutions.cz/overovani-mezinarodnich-sankci</w:t>
        </w:r>
      </w:hyperlink>
    </w:p>
    <w:p w:rsidR="00D025C9" w:rsidRPr="00D025C9" w:rsidRDefault="00395244" w:rsidP="00D025C9">
      <w:pPr>
        <w:jc w:val="both"/>
        <w:rPr>
          <w:rFonts w:ascii="Verdana" w:hAnsi="Verdana"/>
          <w:sz w:val="16"/>
          <w:szCs w:val="16"/>
        </w:rPr>
      </w:pPr>
      <w:hyperlink r:id="rId9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https://sankce.datlab.eu/</w:t>
        </w:r>
      </w:hyperlink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</w:p>
    <w:p w:rsidR="00D025C9" w:rsidRPr="00D025C9" w:rsidRDefault="00D025C9" w:rsidP="00D025C9">
      <w:pPr>
        <w:jc w:val="both"/>
        <w:rPr>
          <w:rFonts w:ascii="Verdana" w:hAnsi="Verdana"/>
          <w:sz w:val="16"/>
          <w:szCs w:val="16"/>
        </w:rPr>
      </w:pPr>
      <w:r w:rsidRPr="00D025C9">
        <w:rPr>
          <w:rFonts w:ascii="Verdana" w:hAnsi="Verdana"/>
          <w:sz w:val="16"/>
          <w:szCs w:val="16"/>
        </w:rPr>
        <w:t>§ 4b) zákona o střetu zájmů – seznam veřejných funkcionářů z § 2 (1c) ke stažení v .XLSX</w:t>
      </w:r>
    </w:p>
    <w:p w:rsidR="00D025C9" w:rsidRPr="00D025C9" w:rsidRDefault="00395244" w:rsidP="00D025C9">
      <w:pPr>
        <w:jc w:val="both"/>
        <w:rPr>
          <w:rStyle w:val="Hypertextovodkaz"/>
          <w:rFonts w:ascii="Verdana" w:hAnsi="Verdana"/>
          <w:sz w:val="16"/>
          <w:szCs w:val="16"/>
        </w:rPr>
      </w:pPr>
      <w:hyperlink r:id="rId10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https://justice.cz/web/msp/seznam-vf</w:t>
        </w:r>
      </w:hyperlink>
    </w:p>
    <w:p w:rsidR="00D025C9" w:rsidRPr="00D025C9" w:rsidRDefault="00D025C9" w:rsidP="00D025C9">
      <w:pPr>
        <w:jc w:val="both"/>
        <w:rPr>
          <w:rStyle w:val="Hypertextovodkaz"/>
          <w:rFonts w:ascii="Verdana" w:hAnsi="Verdana"/>
          <w:color w:val="auto"/>
          <w:sz w:val="16"/>
          <w:szCs w:val="16"/>
          <w:u w:val="none"/>
        </w:rPr>
      </w:pPr>
      <w:r w:rsidRPr="00D025C9">
        <w:rPr>
          <w:rStyle w:val="Hypertextovodkaz"/>
          <w:rFonts w:ascii="Verdana" w:hAnsi="Verdana"/>
          <w:sz w:val="16"/>
          <w:szCs w:val="16"/>
        </w:rPr>
        <w:t>U vybraného dodavatele je možnost ověřit neexistenci střetu zájmů v evidenci skutečných majitelů dostupné na:</w:t>
      </w:r>
    </w:p>
    <w:p w:rsidR="00D025C9" w:rsidRPr="00D025C9" w:rsidRDefault="00395244" w:rsidP="00D025C9">
      <w:pPr>
        <w:jc w:val="both"/>
        <w:rPr>
          <w:rFonts w:ascii="Verdana" w:hAnsi="Verdana"/>
          <w:color w:val="0000FF" w:themeColor="hyperlink"/>
          <w:sz w:val="16"/>
          <w:szCs w:val="16"/>
          <w:u w:val="single"/>
        </w:rPr>
      </w:pPr>
      <w:hyperlink r:id="rId11" w:history="1">
        <w:r w:rsidR="00D025C9" w:rsidRPr="00D025C9">
          <w:rPr>
            <w:rStyle w:val="Hypertextovodkaz"/>
            <w:rFonts w:ascii="Verdana" w:hAnsi="Verdana"/>
            <w:sz w:val="16"/>
            <w:szCs w:val="16"/>
          </w:rPr>
          <w:t>https://esm.justice.cz</w:t>
        </w:r>
      </w:hyperlink>
      <w:r w:rsidR="00D025C9" w:rsidRPr="00D025C9">
        <w:rPr>
          <w:rStyle w:val="Hypertextovodkaz"/>
          <w:rFonts w:ascii="Verdana" w:hAnsi="Verdana"/>
          <w:sz w:val="16"/>
          <w:szCs w:val="16"/>
        </w:rPr>
        <w:t xml:space="preserve"> </w:t>
      </w:r>
    </w:p>
    <w:p w:rsidR="00176EC8" w:rsidRPr="00D025C9" w:rsidRDefault="00176EC8" w:rsidP="00D025C9"/>
    <w:sectPr w:rsidR="00176EC8" w:rsidRPr="00D025C9" w:rsidSect="00C756CF">
      <w:headerReference w:type="default" r:id="rId12"/>
      <w:footerReference w:type="default" r:id="rId13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44" w:rsidRDefault="00395244" w:rsidP="00E35D41">
      <w:pPr>
        <w:spacing w:after="0" w:line="240" w:lineRule="auto"/>
      </w:pPr>
      <w:r>
        <w:separator/>
      </w:r>
    </w:p>
  </w:endnote>
  <w:endnote w:type="continuationSeparator" w:id="0">
    <w:p w:rsidR="00395244" w:rsidRDefault="0039524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44" w:rsidRDefault="00395244" w:rsidP="00E35D41">
      <w:pPr>
        <w:spacing w:after="0" w:line="240" w:lineRule="auto"/>
      </w:pPr>
      <w:r>
        <w:separator/>
      </w:r>
    </w:p>
  </w:footnote>
  <w:footnote w:type="continuationSeparator" w:id="0">
    <w:p w:rsidR="00395244" w:rsidRDefault="00395244" w:rsidP="00E35D41">
      <w:pPr>
        <w:spacing w:after="0" w:line="240" w:lineRule="auto"/>
      </w:pPr>
      <w:r>
        <w:continuationSeparator/>
      </w:r>
    </w:p>
  </w:footnote>
  <w:footnote w:id="1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95244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B05A8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lsolutions.cz/overovani-mezinarodnich-sankc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m.justice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ustice.cz/web/msp/seznam-v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kce.datlab.e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2023-06-08T12:50:00Z</dcterms:created>
  <dcterms:modified xsi:type="dcterms:W3CDTF">2023-06-08T12:50:00Z</dcterms:modified>
</cp:coreProperties>
</file>